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C9D7F8" w14:textId="256F2587" w:rsidR="002337F2" w:rsidRDefault="002337F2" w:rsidP="002337F2">
      <w:pPr>
        <w:jc w:val="center"/>
        <w:rPr>
          <w:b/>
          <w:bCs/>
          <w:u w:val="single"/>
        </w:rPr>
      </w:pPr>
      <w:r>
        <w:rPr>
          <w:noProof/>
          <w:lang w:eastAsia="en-GB"/>
        </w:rPr>
        <w:drawing>
          <wp:inline distT="0" distB="0" distL="0" distR="0" wp14:anchorId="33FF7D1E" wp14:editId="589466ED">
            <wp:extent cx="1571625" cy="872152"/>
            <wp:effectExtent l="0" t="0" r="0" b="4445"/>
            <wp:docPr id="780214137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0642" cy="877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7BC664" w14:textId="77777777" w:rsidR="002337F2" w:rsidRDefault="002337F2" w:rsidP="003813DF">
      <w:pPr>
        <w:rPr>
          <w:b/>
          <w:bCs/>
          <w:u w:val="single"/>
        </w:rPr>
      </w:pPr>
    </w:p>
    <w:p w14:paraId="2B33FB7E" w14:textId="77777777" w:rsidR="00D44D03" w:rsidRDefault="006E5E71" w:rsidP="00D44D03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Working Group Coordinators on </w:t>
      </w:r>
      <w:proofErr w:type="spellStart"/>
      <w:r w:rsidRPr="003813DF">
        <w:rPr>
          <w:b/>
          <w:bCs/>
          <w:u w:val="single"/>
        </w:rPr>
        <w:t>TaPRA</w:t>
      </w:r>
      <w:proofErr w:type="spellEnd"/>
      <w:r w:rsidRPr="003813DF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Executive Committee</w:t>
      </w:r>
    </w:p>
    <w:p w14:paraId="39563FB2" w14:textId="77777777" w:rsidR="00D44D03" w:rsidRDefault="00D44D03" w:rsidP="00D44D03">
      <w:pPr>
        <w:jc w:val="center"/>
        <w:rPr>
          <w:b/>
          <w:bCs/>
          <w:u w:val="single"/>
        </w:rPr>
      </w:pPr>
    </w:p>
    <w:p w14:paraId="287FF73C" w14:textId="6B79D41F" w:rsidR="005008B1" w:rsidRDefault="00D44D03" w:rsidP="00D44D03">
      <w:r>
        <w:t>Working Group Co-ordinators</w:t>
      </w:r>
      <w:r w:rsidR="009B4BA2">
        <w:t xml:space="preserve"> </w:t>
      </w:r>
      <w:r w:rsidR="00B07434">
        <w:t>are responsible for supporting and maintaining a vibrant</w:t>
      </w:r>
      <w:r w:rsidR="009B458F">
        <w:t>, thriving and</w:t>
      </w:r>
      <w:r w:rsidR="00B07434">
        <w:t xml:space="preserve"> welcoming culture</w:t>
      </w:r>
      <w:r w:rsidR="006C3FAE">
        <w:t xml:space="preserve"> within and for </w:t>
      </w:r>
      <w:proofErr w:type="spellStart"/>
      <w:r w:rsidR="006C3FAE">
        <w:t>TaPRA’s</w:t>
      </w:r>
      <w:proofErr w:type="spellEnd"/>
      <w:r w:rsidR="006C3FAE">
        <w:t xml:space="preserve"> Working Groups, which are the heart of the organisation. </w:t>
      </w:r>
    </w:p>
    <w:p w14:paraId="12F2B8F7" w14:textId="13AE8062" w:rsidR="00D44D03" w:rsidRPr="00D44D03" w:rsidRDefault="006C3FAE" w:rsidP="00D44D03">
      <w:pPr>
        <w:rPr>
          <w:b/>
          <w:bCs/>
          <w:u w:val="single"/>
        </w:rPr>
      </w:pPr>
      <w:r>
        <w:t xml:space="preserve">They </w:t>
      </w:r>
      <w:r w:rsidR="009B4BA2" w:rsidRPr="009B4BA2">
        <w:t>liais</w:t>
      </w:r>
      <w:r w:rsidR="009B4BA2">
        <w:t>e</w:t>
      </w:r>
      <w:r w:rsidR="009B4BA2" w:rsidRPr="009B4BA2">
        <w:t xml:space="preserve"> with Working Groups </w:t>
      </w:r>
      <w:r>
        <w:t xml:space="preserve">convenors </w:t>
      </w:r>
      <w:r w:rsidR="00AF7472">
        <w:t xml:space="preserve">and </w:t>
      </w:r>
      <w:r w:rsidR="00D44D03">
        <w:t xml:space="preserve">represent </w:t>
      </w:r>
      <w:r w:rsidR="00AF7472">
        <w:t>their needs to</w:t>
      </w:r>
      <w:r w:rsidR="00350313">
        <w:t xml:space="preserve"> the Executive Committee</w:t>
      </w:r>
      <w:r w:rsidR="00D44D03">
        <w:t>. There are usually 2</w:t>
      </w:r>
      <w:r w:rsidR="00FB7DCA">
        <w:t xml:space="preserve"> or 3</w:t>
      </w:r>
      <w:r w:rsidR="00D44D03">
        <w:t xml:space="preserve"> Co-ordinators</w:t>
      </w:r>
      <w:r w:rsidR="00FB7DCA">
        <w:t xml:space="preserve"> </w:t>
      </w:r>
      <w:r w:rsidR="00446113">
        <w:t xml:space="preserve">on the Executive Committee, </w:t>
      </w:r>
      <w:r w:rsidR="00FB7DCA">
        <w:t>who work together</w:t>
      </w:r>
      <w:r w:rsidR="00D44D03">
        <w:t xml:space="preserve"> in recognition of the scale of this role.</w:t>
      </w:r>
      <w:r w:rsidR="00FB7DCA">
        <w:t xml:space="preserve"> They are responsible for </w:t>
      </w:r>
      <w:r w:rsidR="00B07434">
        <w:t xml:space="preserve">supporting and </w:t>
      </w:r>
      <w:r w:rsidR="00FB7DCA">
        <w:t>m</w:t>
      </w:r>
      <w:r w:rsidR="00FB7DCA" w:rsidRPr="00FB7DCA">
        <w:t>aintaining an overview of Working Group activities, and advising the Exec</w:t>
      </w:r>
      <w:r w:rsidR="00FB7DCA">
        <w:t>utive Committee</w:t>
      </w:r>
      <w:r w:rsidR="00FB7DCA" w:rsidRPr="00FB7DCA">
        <w:t xml:space="preserve"> if any groups seem to become inactive or under-subscribed</w:t>
      </w:r>
      <w:r w:rsidR="001A30D8">
        <w:t xml:space="preserve">. They </w:t>
      </w:r>
      <w:r w:rsidR="0065264A">
        <w:t xml:space="preserve">advise and </w:t>
      </w:r>
      <w:r w:rsidR="001A30D8">
        <w:t>r</w:t>
      </w:r>
      <w:r w:rsidR="001A30D8" w:rsidRPr="001A30D8">
        <w:t xml:space="preserve">epresent those members who want to set up new groups </w:t>
      </w:r>
      <w:r w:rsidR="001A30D8">
        <w:t>to Executive Committee</w:t>
      </w:r>
      <w:r w:rsidR="001A30D8" w:rsidRPr="001A30D8">
        <w:t xml:space="preserve"> meetings</w:t>
      </w:r>
      <w:r w:rsidR="00D32277">
        <w:t>.</w:t>
      </w:r>
    </w:p>
    <w:p w14:paraId="3AC4FFD3" w14:textId="0E5CFDDB" w:rsidR="003813DF" w:rsidRDefault="003813DF" w:rsidP="003813DF">
      <w:r>
        <w:t xml:space="preserve">They will have a demonstrable commitment to equitable and inclusive practices in Theatre and Performance research and will bring this commitment to </w:t>
      </w:r>
      <w:r w:rsidR="006D170D">
        <w:t>enabling</w:t>
      </w:r>
      <w:r w:rsidR="00471FC3">
        <w:t xml:space="preserve"> </w:t>
      </w:r>
      <w:r w:rsidR="00E4168C">
        <w:t>individuals and</w:t>
      </w:r>
      <w:r>
        <w:t xml:space="preserve"> groups </w:t>
      </w:r>
      <w:r w:rsidR="006D170D">
        <w:t xml:space="preserve">who are </w:t>
      </w:r>
      <w:r>
        <w:t xml:space="preserve">historically underrepresented </w:t>
      </w:r>
      <w:r w:rsidR="00E4168C">
        <w:t>in</w:t>
      </w:r>
      <w:r>
        <w:t xml:space="preserve"> the discipline of Theatre and Performance Studies</w:t>
      </w:r>
      <w:r w:rsidR="006D170D">
        <w:t xml:space="preserve"> to become involved</w:t>
      </w:r>
      <w:r w:rsidR="00471FC3">
        <w:t xml:space="preserve"> in Working Group activity (including as Convenors)</w:t>
      </w:r>
      <w:r>
        <w:t>.</w:t>
      </w:r>
    </w:p>
    <w:p w14:paraId="47F9DDB3" w14:textId="77777777" w:rsidR="001B122C" w:rsidRDefault="001B122C" w:rsidP="003813DF"/>
    <w:p w14:paraId="684336BF" w14:textId="6CD52503" w:rsidR="003813DF" w:rsidRDefault="003813DF" w:rsidP="003813DF">
      <w:r>
        <w:t xml:space="preserve">Duties may include, but not be limited to: </w:t>
      </w:r>
    </w:p>
    <w:p w14:paraId="09BFC6F0" w14:textId="1AF17E94" w:rsidR="00167E1E" w:rsidRDefault="00704C1D" w:rsidP="00167E1E">
      <w:pPr>
        <w:pStyle w:val="ListParagraph"/>
        <w:numPr>
          <w:ilvl w:val="0"/>
          <w:numId w:val="1"/>
        </w:numPr>
      </w:pPr>
      <w:r>
        <w:t>Acting as the main point of contact on the Exec</w:t>
      </w:r>
      <w:r w:rsidR="00327EDC">
        <w:t>utive Committee</w:t>
      </w:r>
      <w:r>
        <w:t xml:space="preserve"> with regards all Working Group activities</w:t>
      </w:r>
      <w:r w:rsidR="00167E1E">
        <w:t xml:space="preserve">, and </w:t>
      </w:r>
      <w:r w:rsidR="00051B64">
        <w:t xml:space="preserve">maintaining oversight of </w:t>
      </w:r>
      <w:r w:rsidR="00167E1E">
        <w:t xml:space="preserve">the annual calendar of </w:t>
      </w:r>
      <w:proofErr w:type="gramStart"/>
      <w:r w:rsidR="00327EDC">
        <w:t>events</w:t>
      </w:r>
      <w:r w:rsidR="00E44B39">
        <w:t>;</w:t>
      </w:r>
      <w:proofErr w:type="gramEnd"/>
    </w:p>
    <w:p w14:paraId="40DD546D" w14:textId="3D91BA80" w:rsidR="009E2651" w:rsidRDefault="009E2651" w:rsidP="00167E1E">
      <w:pPr>
        <w:pStyle w:val="ListParagraph"/>
        <w:numPr>
          <w:ilvl w:val="0"/>
          <w:numId w:val="1"/>
        </w:numPr>
      </w:pPr>
      <w:r>
        <w:t>Advising Working Groups on expectations</w:t>
      </w:r>
      <w:r w:rsidR="009B4BA2">
        <w:t>,</w:t>
      </w:r>
      <w:r>
        <w:t xml:space="preserve"> and creating and maintaining guidelines for their running and </w:t>
      </w:r>
      <w:proofErr w:type="gramStart"/>
      <w:r>
        <w:t>organisation</w:t>
      </w:r>
      <w:r w:rsidR="00E44B39">
        <w:t>;</w:t>
      </w:r>
      <w:proofErr w:type="gramEnd"/>
    </w:p>
    <w:p w14:paraId="4277C9E4" w14:textId="0F7212BB" w:rsidR="00E44B39" w:rsidRDefault="00D32277" w:rsidP="00D32277">
      <w:pPr>
        <w:pStyle w:val="ListParagraph"/>
        <w:numPr>
          <w:ilvl w:val="0"/>
          <w:numId w:val="1"/>
        </w:numPr>
      </w:pPr>
      <w:r>
        <w:t>S</w:t>
      </w:r>
      <w:r w:rsidRPr="009B4BA2">
        <w:t>upporting W</w:t>
      </w:r>
      <w:r w:rsidR="00E44B39">
        <w:t xml:space="preserve">orking </w:t>
      </w:r>
      <w:proofErr w:type="spellStart"/>
      <w:r w:rsidRPr="009B4BA2">
        <w:t>G</w:t>
      </w:r>
      <w:r w:rsidR="00E44B39">
        <w:t>roups</w:t>
      </w:r>
      <w:r w:rsidRPr="009B4BA2">
        <w:t>s</w:t>
      </w:r>
      <w:proofErr w:type="spellEnd"/>
      <w:r w:rsidRPr="009B4BA2">
        <w:t xml:space="preserve"> in planning and disseminating information related to the annual </w:t>
      </w:r>
      <w:proofErr w:type="gramStart"/>
      <w:r w:rsidRPr="009B4BA2">
        <w:t>conference</w:t>
      </w:r>
      <w:r w:rsidR="00FB56A0">
        <w:t>;</w:t>
      </w:r>
      <w:proofErr w:type="gramEnd"/>
    </w:p>
    <w:p w14:paraId="52F8B92B" w14:textId="4DBB9C56" w:rsidR="00D32277" w:rsidRDefault="00E44B39" w:rsidP="00D32277">
      <w:pPr>
        <w:pStyle w:val="ListParagraph"/>
        <w:numPr>
          <w:ilvl w:val="0"/>
          <w:numId w:val="1"/>
        </w:numPr>
      </w:pPr>
      <w:r>
        <w:t>S</w:t>
      </w:r>
      <w:r w:rsidR="00D32277" w:rsidRPr="009B4BA2">
        <w:t>upporting W</w:t>
      </w:r>
      <w:r>
        <w:t>orking Groups</w:t>
      </w:r>
      <w:r w:rsidR="00D32277" w:rsidRPr="009B4BA2">
        <w:t xml:space="preserve"> convenors to organise </w:t>
      </w:r>
      <w:proofErr w:type="spellStart"/>
      <w:r w:rsidR="00D32277" w:rsidRPr="009B4BA2">
        <w:t>TaPRA</w:t>
      </w:r>
      <w:proofErr w:type="spellEnd"/>
      <w:r w:rsidR="00D32277" w:rsidRPr="009B4BA2">
        <w:t xml:space="preserve"> events outside the annual </w:t>
      </w:r>
      <w:proofErr w:type="gramStart"/>
      <w:r w:rsidR="00D32277" w:rsidRPr="009B4BA2">
        <w:t>conference</w:t>
      </w:r>
      <w:r w:rsidR="00FB56A0">
        <w:t>;</w:t>
      </w:r>
      <w:proofErr w:type="gramEnd"/>
    </w:p>
    <w:p w14:paraId="7AA72026" w14:textId="31697718" w:rsidR="00704C1D" w:rsidRDefault="00051B64" w:rsidP="00704C1D">
      <w:pPr>
        <w:pStyle w:val="ListParagraph"/>
        <w:numPr>
          <w:ilvl w:val="0"/>
          <w:numId w:val="1"/>
        </w:numPr>
      </w:pPr>
      <w:r>
        <w:t xml:space="preserve">Organising regular meetings of </w:t>
      </w:r>
      <w:r w:rsidR="005127FE">
        <w:t xml:space="preserve">and/or communications with </w:t>
      </w:r>
      <w:r>
        <w:t xml:space="preserve">Working Group </w:t>
      </w:r>
      <w:proofErr w:type="gramStart"/>
      <w:r>
        <w:t>Co</w:t>
      </w:r>
      <w:r w:rsidR="005127FE">
        <w:t>nvenors</w:t>
      </w:r>
      <w:r w:rsidR="00FB56A0">
        <w:t>;</w:t>
      </w:r>
      <w:proofErr w:type="gramEnd"/>
    </w:p>
    <w:p w14:paraId="590E46D2" w14:textId="3390017E" w:rsidR="00D44D03" w:rsidRDefault="00D44D03" w:rsidP="00D44D03">
      <w:pPr>
        <w:pStyle w:val="ListParagraph"/>
        <w:numPr>
          <w:ilvl w:val="0"/>
          <w:numId w:val="1"/>
        </w:numPr>
      </w:pPr>
      <w:r>
        <w:t xml:space="preserve">Ensuring that all Working Groups have </w:t>
      </w:r>
      <w:r w:rsidR="00FB56A0">
        <w:t xml:space="preserve">engaged and active </w:t>
      </w:r>
      <w:proofErr w:type="gramStart"/>
      <w:r>
        <w:t>Conven</w:t>
      </w:r>
      <w:r w:rsidR="00FB56A0">
        <w:t>o</w:t>
      </w:r>
      <w:r>
        <w:t>rs</w:t>
      </w:r>
      <w:r w:rsidR="00FB56A0">
        <w:t>;</w:t>
      </w:r>
      <w:proofErr w:type="gramEnd"/>
    </w:p>
    <w:p w14:paraId="27FD64EC" w14:textId="374078E7" w:rsidR="004B5CE8" w:rsidRDefault="00167E1E" w:rsidP="00A4333E">
      <w:pPr>
        <w:pStyle w:val="ListParagraph"/>
        <w:numPr>
          <w:ilvl w:val="0"/>
          <w:numId w:val="1"/>
        </w:numPr>
      </w:pPr>
      <w:r>
        <w:t>Keeping</w:t>
      </w:r>
      <w:r w:rsidR="00A4333E">
        <w:t xml:space="preserve"> an accurate record of </w:t>
      </w:r>
      <w:r w:rsidR="005127FE">
        <w:t>Working Group Convenors</w:t>
      </w:r>
      <w:r w:rsidR="00A4333E">
        <w:t xml:space="preserve"> and how they can be </w:t>
      </w:r>
      <w:proofErr w:type="gramStart"/>
      <w:r w:rsidR="00A4333E">
        <w:t>contacted</w:t>
      </w:r>
      <w:r w:rsidR="00FB56A0">
        <w:t>;</w:t>
      </w:r>
      <w:proofErr w:type="gramEnd"/>
      <w:r w:rsidR="004B5CE8">
        <w:t xml:space="preserve"> </w:t>
      </w:r>
    </w:p>
    <w:p w14:paraId="11DF0B51" w14:textId="6A91FBB3" w:rsidR="00A4333E" w:rsidRDefault="004B5CE8" w:rsidP="00A4333E">
      <w:pPr>
        <w:pStyle w:val="ListParagraph"/>
        <w:numPr>
          <w:ilvl w:val="0"/>
          <w:numId w:val="1"/>
        </w:numPr>
      </w:pPr>
      <w:r>
        <w:t xml:space="preserve">Overseeing the length of time that Convenors remain in post and </w:t>
      </w:r>
      <w:r w:rsidR="009B2CEA">
        <w:t>supporting</w:t>
      </w:r>
      <w:r>
        <w:t xml:space="preserve"> replacement</w:t>
      </w:r>
      <w:r w:rsidR="009B2CEA">
        <w:t xml:space="preserve"> processes</w:t>
      </w:r>
      <w:r>
        <w:t xml:space="preserve"> every three </w:t>
      </w:r>
      <w:proofErr w:type="gramStart"/>
      <w:r>
        <w:t>years</w:t>
      </w:r>
      <w:r w:rsidR="009B2CEA">
        <w:t>;</w:t>
      </w:r>
      <w:proofErr w:type="gramEnd"/>
    </w:p>
    <w:p w14:paraId="5A0A072D" w14:textId="72064448" w:rsidR="00167E1E" w:rsidRDefault="00A4333E" w:rsidP="00A4333E">
      <w:pPr>
        <w:pStyle w:val="ListParagraph"/>
        <w:numPr>
          <w:ilvl w:val="0"/>
          <w:numId w:val="1"/>
        </w:numPr>
      </w:pPr>
      <w:r>
        <w:t xml:space="preserve">Advising members who want to set up new </w:t>
      </w:r>
      <w:r w:rsidR="009B2CEA">
        <w:t>Working G</w:t>
      </w:r>
      <w:r>
        <w:t xml:space="preserve">roups based on the </w:t>
      </w:r>
      <w:proofErr w:type="spellStart"/>
      <w:r>
        <w:t>TaPRA</w:t>
      </w:r>
      <w:proofErr w:type="spellEnd"/>
      <w:r>
        <w:t xml:space="preserve"> guidelines for setting up new groups</w:t>
      </w:r>
      <w:r w:rsidR="009B2CEA">
        <w:t xml:space="preserve"> which they maintain and review </w:t>
      </w:r>
      <w:proofErr w:type="gramStart"/>
      <w:r w:rsidR="009B2CEA">
        <w:t>regularly;</w:t>
      </w:r>
      <w:proofErr w:type="gramEnd"/>
      <w:r>
        <w:t xml:space="preserve"> </w:t>
      </w:r>
    </w:p>
    <w:p w14:paraId="13B110AE" w14:textId="7AF84BC6" w:rsidR="003813DF" w:rsidRPr="003813DF" w:rsidRDefault="003813DF" w:rsidP="003813DF">
      <w:pPr>
        <w:pStyle w:val="ListParagraph"/>
        <w:numPr>
          <w:ilvl w:val="0"/>
          <w:numId w:val="1"/>
        </w:numPr>
      </w:pPr>
      <w:r>
        <w:t>A</w:t>
      </w:r>
      <w:r w:rsidRPr="003813DF">
        <w:t xml:space="preserve">ttending </w:t>
      </w:r>
      <w:r>
        <w:t xml:space="preserve">and contributing to </w:t>
      </w:r>
      <w:r w:rsidRPr="003813DF">
        <w:t xml:space="preserve">meetings of the Executive Committee (currently approximately 9 times per year, held </w:t>
      </w:r>
      <w:r>
        <w:t xml:space="preserve">primarily </w:t>
      </w:r>
      <w:r w:rsidRPr="003813DF">
        <w:t>online)</w:t>
      </w:r>
      <w:r>
        <w:t>.</w:t>
      </w:r>
    </w:p>
    <w:p w14:paraId="05F08911" w14:textId="77777777" w:rsidR="003813DF" w:rsidRDefault="003813DF" w:rsidP="003813DF">
      <w:r>
        <w:t xml:space="preserve"> </w:t>
      </w:r>
    </w:p>
    <w:p w14:paraId="77C6FE0E" w14:textId="77777777" w:rsidR="003813DF" w:rsidRDefault="003813DF" w:rsidP="003813DF"/>
    <w:sectPr w:rsidR="003813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76B83"/>
    <w:multiLevelType w:val="hybridMultilevel"/>
    <w:tmpl w:val="9F0E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3DF"/>
    <w:rsid w:val="00051B64"/>
    <w:rsid w:val="001461AD"/>
    <w:rsid w:val="00167E1E"/>
    <w:rsid w:val="001A30D8"/>
    <w:rsid w:val="001B122C"/>
    <w:rsid w:val="002337F2"/>
    <w:rsid w:val="002547CF"/>
    <w:rsid w:val="0026133E"/>
    <w:rsid w:val="00272C86"/>
    <w:rsid w:val="00327EDC"/>
    <w:rsid w:val="00350313"/>
    <w:rsid w:val="00373124"/>
    <w:rsid w:val="003813DF"/>
    <w:rsid w:val="00392E80"/>
    <w:rsid w:val="003E60F7"/>
    <w:rsid w:val="0043443A"/>
    <w:rsid w:val="00446113"/>
    <w:rsid w:val="00471FC3"/>
    <w:rsid w:val="004B5CE8"/>
    <w:rsid w:val="005008B1"/>
    <w:rsid w:val="00503409"/>
    <w:rsid w:val="005127FE"/>
    <w:rsid w:val="0052388C"/>
    <w:rsid w:val="00582CC0"/>
    <w:rsid w:val="00643405"/>
    <w:rsid w:val="0065264A"/>
    <w:rsid w:val="006623EC"/>
    <w:rsid w:val="00691CC5"/>
    <w:rsid w:val="006A662C"/>
    <w:rsid w:val="006C3FAE"/>
    <w:rsid w:val="006D170D"/>
    <w:rsid w:val="006E5E71"/>
    <w:rsid w:val="00704C1D"/>
    <w:rsid w:val="00777D91"/>
    <w:rsid w:val="00854F09"/>
    <w:rsid w:val="008D3139"/>
    <w:rsid w:val="008D572C"/>
    <w:rsid w:val="00973613"/>
    <w:rsid w:val="009B2CEA"/>
    <w:rsid w:val="009B458F"/>
    <w:rsid w:val="009B4BA2"/>
    <w:rsid w:val="009D7983"/>
    <w:rsid w:val="009E2651"/>
    <w:rsid w:val="00A00D38"/>
    <w:rsid w:val="00A4333E"/>
    <w:rsid w:val="00AE1ABA"/>
    <w:rsid w:val="00AF7472"/>
    <w:rsid w:val="00B07434"/>
    <w:rsid w:val="00B27B60"/>
    <w:rsid w:val="00BB0646"/>
    <w:rsid w:val="00BB7811"/>
    <w:rsid w:val="00C000D7"/>
    <w:rsid w:val="00CD620B"/>
    <w:rsid w:val="00CE0B6A"/>
    <w:rsid w:val="00D32277"/>
    <w:rsid w:val="00D44D03"/>
    <w:rsid w:val="00DC11FE"/>
    <w:rsid w:val="00DE215B"/>
    <w:rsid w:val="00E4168C"/>
    <w:rsid w:val="00E44B39"/>
    <w:rsid w:val="00E52A56"/>
    <w:rsid w:val="00F2469A"/>
    <w:rsid w:val="00FB56A0"/>
    <w:rsid w:val="00FB7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7976C"/>
  <w15:chartTrackingRefBased/>
  <w15:docId w15:val="{9E1CE1EF-2DD1-4B5C-819E-B7926DD52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074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7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Mock</dc:creator>
  <cp:keywords/>
  <dc:description/>
  <cp:lastModifiedBy>Beswick, Katie</cp:lastModifiedBy>
  <cp:revision>2</cp:revision>
  <dcterms:created xsi:type="dcterms:W3CDTF">2021-05-12T17:38:00Z</dcterms:created>
  <dcterms:modified xsi:type="dcterms:W3CDTF">2021-05-12T17:38:00Z</dcterms:modified>
</cp:coreProperties>
</file>