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BC664" w14:textId="4B880F0E" w:rsidR="002337F2" w:rsidRDefault="002337F2" w:rsidP="6963A87C">
      <w:pPr>
        <w:jc w:val="center"/>
        <w:rPr>
          <w:b/>
          <w:bCs/>
          <w:u w:val="single"/>
        </w:rPr>
      </w:pPr>
      <w:r>
        <w:rPr>
          <w:noProof/>
          <w:lang w:eastAsia="en-GB"/>
        </w:rPr>
        <w:drawing>
          <wp:inline distT="0" distB="0" distL="0" distR="0" wp14:anchorId="33FF7D1E" wp14:editId="6963A87C">
            <wp:extent cx="1571625" cy="872152"/>
            <wp:effectExtent l="0" t="0" r="0" b="4445"/>
            <wp:docPr id="7802141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7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63FB2" w14:textId="733E5831" w:rsidR="00D44D03" w:rsidRDefault="00E56E72" w:rsidP="00D44D03">
      <w:pPr>
        <w:jc w:val="center"/>
        <w:rPr>
          <w:b/>
          <w:bCs/>
          <w:u w:val="single"/>
        </w:rPr>
      </w:pPr>
      <w:r w:rsidRPr="6963A87C">
        <w:rPr>
          <w:b/>
          <w:bCs/>
          <w:u w:val="single"/>
        </w:rPr>
        <w:t>C</w:t>
      </w:r>
      <w:r w:rsidR="75EE983A" w:rsidRPr="6963A87C">
        <w:rPr>
          <w:b/>
          <w:bCs/>
          <w:u w:val="single"/>
        </w:rPr>
        <w:t>onference Officer:</w:t>
      </w:r>
      <w:r w:rsidRPr="6963A87C">
        <w:rPr>
          <w:b/>
          <w:bCs/>
          <w:u w:val="single"/>
        </w:rPr>
        <w:t xml:space="preserve"> Role Description</w:t>
      </w:r>
    </w:p>
    <w:p w14:paraId="39F50603" w14:textId="77777777" w:rsidR="000F4B21" w:rsidRDefault="000F4B21"/>
    <w:p w14:paraId="404E5401" w14:textId="07F46A4C" w:rsidR="0060333B" w:rsidRDefault="0060333B">
      <w:r>
        <w:t>The main responsibility of the C</w:t>
      </w:r>
      <w:r w:rsidR="12D3C670">
        <w:t xml:space="preserve">onference Officer </w:t>
      </w:r>
      <w:r>
        <w:t xml:space="preserve">is </w:t>
      </w:r>
      <w:r w:rsidR="004B20FB">
        <w:t xml:space="preserve">to </w:t>
      </w:r>
      <w:r w:rsidR="651E8C93">
        <w:t>work with individuals in host institutions to help organise, budget for</w:t>
      </w:r>
      <w:r w:rsidR="000F4B21">
        <w:t>,</w:t>
      </w:r>
      <w:r w:rsidR="651E8C93">
        <w:t xml:space="preserve"> and run the annual</w:t>
      </w:r>
      <w:r>
        <w:t xml:space="preserve"> </w:t>
      </w:r>
      <w:proofErr w:type="spellStart"/>
      <w:r>
        <w:t>TaPRA</w:t>
      </w:r>
      <w:proofErr w:type="spellEnd"/>
      <w:r w:rsidR="2241DCCC">
        <w:t xml:space="preserve"> conference</w:t>
      </w:r>
      <w:r w:rsidR="3CD97D72">
        <w:t>.</w:t>
      </w:r>
    </w:p>
    <w:p w14:paraId="41C5AB35" w14:textId="603BC732" w:rsidR="00E54E36" w:rsidRDefault="00E54E36" w:rsidP="6963A87C">
      <w:r>
        <w:t>The C</w:t>
      </w:r>
      <w:r w:rsidR="15D241D1">
        <w:t>onference Officer</w:t>
      </w:r>
      <w:r>
        <w:t xml:space="preserve"> </w:t>
      </w:r>
      <w:r w:rsidR="1AF54994">
        <w:t>sits on</w:t>
      </w:r>
      <w:r w:rsidR="2DEABA79">
        <w:t xml:space="preserve"> </w:t>
      </w:r>
      <w:proofErr w:type="spellStart"/>
      <w:r w:rsidR="0060333B">
        <w:t>TaPRA’s</w:t>
      </w:r>
      <w:proofErr w:type="spellEnd"/>
      <w:r w:rsidR="0060333B">
        <w:t xml:space="preserve"> Executive Committee </w:t>
      </w:r>
      <w:r w:rsidR="5B331DD3">
        <w:t xml:space="preserve">and </w:t>
      </w:r>
      <w:r w:rsidR="000F4B21">
        <w:t>leads</w:t>
      </w:r>
      <w:r w:rsidR="5B331DD3">
        <w:t xml:space="preserve"> on all matters related to the development of the current conference, as well as any proposals submitted by prospective hosts.</w:t>
      </w:r>
      <w:r w:rsidR="0967114A">
        <w:t xml:space="preserve"> They play a role in thinking through, getting feedback on and planning for the strategic direction of the</w:t>
      </w:r>
      <w:r w:rsidR="4F65AF4D">
        <w:t xml:space="preserve"> </w:t>
      </w:r>
      <w:r w:rsidR="0967114A">
        <w:t>conference. It is possible in future years that this might encompas</w:t>
      </w:r>
      <w:r w:rsidR="6AF2B7BB">
        <w:t>s a wider remit of ‘events’, but the current role is very much focused on the annual conference event.</w:t>
      </w:r>
    </w:p>
    <w:p w14:paraId="0A35F0D3" w14:textId="748BEF72" w:rsidR="6AF2B7BB" w:rsidRDefault="6AF2B7BB" w:rsidP="6963A87C">
      <w:r>
        <w:t>The Conference Officer liaises with the</w:t>
      </w:r>
      <w:r w:rsidR="6FD7C25D">
        <w:t xml:space="preserve"> host</w:t>
      </w:r>
      <w:r w:rsidR="004B20FB">
        <w:t xml:space="preserve"> institution and t</w:t>
      </w:r>
      <w:r w:rsidR="3D2C174B">
        <w:t xml:space="preserve">he </w:t>
      </w:r>
      <w:proofErr w:type="spellStart"/>
      <w:r w:rsidR="0584ACB9">
        <w:t>TaPRA</w:t>
      </w:r>
      <w:proofErr w:type="spellEnd"/>
      <w:r w:rsidR="0584ACB9">
        <w:t xml:space="preserve"> </w:t>
      </w:r>
      <w:r w:rsidR="004B20FB">
        <w:t>E</w:t>
      </w:r>
      <w:r w:rsidR="3D2C174B">
        <w:t>xec</w:t>
      </w:r>
      <w:r w:rsidR="618F1DD1">
        <w:t>utive</w:t>
      </w:r>
      <w:r w:rsidR="004B20FB">
        <w:t xml:space="preserve"> C</w:t>
      </w:r>
      <w:r w:rsidR="3D2C174B">
        <w:t>ommittee</w:t>
      </w:r>
      <w:r w:rsidR="004B20FB">
        <w:t xml:space="preserve"> about</w:t>
      </w:r>
      <w:r>
        <w:t xml:space="preserve"> the </w:t>
      </w:r>
      <w:r w:rsidR="004B20FB">
        <w:t xml:space="preserve">conference </w:t>
      </w:r>
      <w:r>
        <w:t xml:space="preserve">programme, particularly elements such as </w:t>
      </w:r>
      <w:r w:rsidR="004B20FB">
        <w:t>keynotes, performances and the E</w:t>
      </w:r>
      <w:r>
        <w:t>xec</w:t>
      </w:r>
      <w:r w:rsidR="004B20FB">
        <w:t>utive-</w:t>
      </w:r>
      <w:r>
        <w:t xml:space="preserve"> curated panel. T</w:t>
      </w:r>
      <w:r w:rsidR="004B20FB">
        <w:t>hey also work closely with the Working Group Co</w:t>
      </w:r>
      <w:r>
        <w:t>-ordinators</w:t>
      </w:r>
      <w:r w:rsidR="4462C612">
        <w:t xml:space="preserve"> in their communications with working group conveners about conference matters.</w:t>
      </w:r>
    </w:p>
    <w:p w14:paraId="45501E2D" w14:textId="1288D9E6" w:rsidR="004B20FB" w:rsidRDefault="004B20FB" w:rsidP="6963A87C">
      <w:r>
        <w:t>They will have a demonstrable commitment to equitable and inclusive practices in Theatre and Performance research and will bring this commitment to the organisation and planning of the annual conference.</w:t>
      </w:r>
    </w:p>
    <w:p w14:paraId="0D8F2DE1" w14:textId="757EB2E3" w:rsidR="004B20FB" w:rsidRDefault="0060333B" w:rsidP="003813DF">
      <w:r w:rsidRPr="004B20FB">
        <w:t>This is a non-salaried voluntary position which</w:t>
      </w:r>
      <w:r w:rsidR="004B20FB" w:rsidRPr="004B20FB">
        <w:t xml:space="preserve"> has</w:t>
      </w:r>
      <w:r w:rsidR="2BFABBEB" w:rsidRPr="004B20FB">
        <w:t xml:space="preserve"> </w:t>
      </w:r>
      <w:r w:rsidR="63460FEC" w:rsidRPr="004B20FB">
        <w:t>involv</w:t>
      </w:r>
      <w:r w:rsidR="004B20FB" w:rsidRPr="004B20FB">
        <w:t>ed a</w:t>
      </w:r>
      <w:r w:rsidR="31B4F73A" w:rsidRPr="004B20FB">
        <w:t xml:space="preserve"> </w:t>
      </w:r>
      <w:r w:rsidR="004B20FB">
        <w:t>very considerable</w:t>
      </w:r>
      <w:r w:rsidR="63460FEC" w:rsidRPr="004B20FB">
        <w:t xml:space="preserve"> </w:t>
      </w:r>
      <w:r w:rsidR="004B20FB" w:rsidRPr="004B20FB">
        <w:t>time commitment</w:t>
      </w:r>
      <w:r w:rsidR="004B20FB">
        <w:t xml:space="preserve"> in 2021</w:t>
      </w:r>
      <w:r w:rsidR="63460FEC" w:rsidRPr="004B20FB">
        <w:t xml:space="preserve"> to stage th</w:t>
      </w:r>
      <w:r w:rsidR="2008B3BA" w:rsidRPr="004B20FB">
        <w:t>e</w:t>
      </w:r>
      <w:r w:rsidR="63460FEC" w:rsidRPr="004B20FB">
        <w:t xml:space="preserve"> online conference, </w:t>
      </w:r>
      <w:r w:rsidR="62C36AA5" w:rsidRPr="004B20FB">
        <w:t xml:space="preserve">but </w:t>
      </w:r>
      <w:r w:rsidR="004B20FB">
        <w:t>this is not usual</w:t>
      </w:r>
      <w:r w:rsidR="63460FEC" w:rsidRPr="004B20FB">
        <w:t xml:space="preserve"> or expected </w:t>
      </w:r>
      <w:r w:rsidR="004B20FB">
        <w:t>in future years</w:t>
      </w:r>
      <w:r w:rsidR="004B20FB" w:rsidRPr="004B20FB">
        <w:t>.</w:t>
      </w:r>
    </w:p>
    <w:p w14:paraId="684336BF" w14:textId="48DFD61F" w:rsidR="003813DF" w:rsidRDefault="004B20FB" w:rsidP="003813DF">
      <w:r>
        <w:t>D</w:t>
      </w:r>
      <w:r w:rsidR="003813DF">
        <w:t xml:space="preserve">uties may include, but not be limited to: </w:t>
      </w:r>
    </w:p>
    <w:p w14:paraId="6EEE8C90" w14:textId="1A84328E" w:rsidR="5988C636" w:rsidRDefault="5988C636" w:rsidP="6963A87C">
      <w:pPr>
        <w:pStyle w:val="ListParagraph"/>
        <w:numPr>
          <w:ilvl w:val="0"/>
          <w:numId w:val="1"/>
        </w:numPr>
        <w:spacing w:after="0"/>
      </w:pPr>
      <w:r>
        <w:t>Meeting and communicating with current and prospective hosts to discuss plans for the annual conference</w:t>
      </w:r>
      <w:r w:rsidR="004B20FB">
        <w:t>;</w:t>
      </w:r>
    </w:p>
    <w:p w14:paraId="1D51F288" w14:textId="5C9439D1" w:rsidR="5988C636" w:rsidRDefault="5988C636" w:rsidP="6963A87C">
      <w:pPr>
        <w:pStyle w:val="ListParagraph"/>
        <w:numPr>
          <w:ilvl w:val="0"/>
          <w:numId w:val="1"/>
        </w:numPr>
        <w:spacing w:after="0"/>
      </w:pPr>
      <w:r>
        <w:t>Advising the hosts on matters such as budget, venues, scheduling, accessibility and social events</w:t>
      </w:r>
      <w:r w:rsidR="004B20FB">
        <w:t>;</w:t>
      </w:r>
    </w:p>
    <w:p w14:paraId="3B5690D3" w14:textId="3D7AE4A9" w:rsidR="5988C636" w:rsidRDefault="5988C636" w:rsidP="6963A87C">
      <w:pPr>
        <w:pStyle w:val="ListParagraph"/>
        <w:numPr>
          <w:ilvl w:val="0"/>
          <w:numId w:val="1"/>
        </w:numPr>
        <w:spacing w:after="0"/>
      </w:pPr>
      <w:r>
        <w:t>Working with the host</w:t>
      </w:r>
      <w:r w:rsidR="5B02B393">
        <w:t>s</w:t>
      </w:r>
      <w:r>
        <w:t xml:space="preserve"> to develop the conference budget and presenting this to the executive committee for approval</w:t>
      </w:r>
      <w:r w:rsidR="004B20FB">
        <w:t>;</w:t>
      </w:r>
    </w:p>
    <w:p w14:paraId="7C3FB4BB" w14:textId="53B95AD9" w:rsidR="577A170A" w:rsidRDefault="577A170A" w:rsidP="6963A87C">
      <w:pPr>
        <w:pStyle w:val="ListParagraph"/>
        <w:numPr>
          <w:ilvl w:val="0"/>
          <w:numId w:val="1"/>
        </w:numPr>
        <w:spacing w:after="0"/>
      </w:pPr>
      <w:r>
        <w:t>Liaising with the host</w:t>
      </w:r>
      <w:r w:rsidR="004B20FB">
        <w:t xml:space="preserve"> organisation and E</w:t>
      </w:r>
      <w:r>
        <w:t>xec</w:t>
      </w:r>
      <w:r w:rsidR="004B20FB">
        <w:t>utive C</w:t>
      </w:r>
      <w:r>
        <w:t>ommittee to determine the focus and feel of the event through the whole conference sessions scheduled</w:t>
      </w:r>
      <w:r w:rsidR="7E873219">
        <w:t xml:space="preserve"> and the structure of the conference as a whole</w:t>
      </w:r>
      <w:r w:rsidR="004B20FB">
        <w:t>;</w:t>
      </w:r>
    </w:p>
    <w:p w14:paraId="6A9DAC44" w14:textId="527CDD99" w:rsidR="5988C636" w:rsidRDefault="5988C636" w:rsidP="6963A87C">
      <w:pPr>
        <w:pStyle w:val="ListParagraph"/>
        <w:numPr>
          <w:ilvl w:val="0"/>
          <w:numId w:val="1"/>
        </w:numPr>
        <w:spacing w:after="0"/>
      </w:pPr>
      <w:r>
        <w:t>Prompting and responding to feedback on the annual conference from members, working group conveners and hosts</w:t>
      </w:r>
      <w:r w:rsidR="004B20FB">
        <w:t>;</w:t>
      </w:r>
    </w:p>
    <w:p w14:paraId="6ADB1757" w14:textId="1B6EA134" w:rsidR="5988C636" w:rsidRDefault="5988C636" w:rsidP="6963A87C">
      <w:pPr>
        <w:pStyle w:val="ListParagraph"/>
        <w:numPr>
          <w:ilvl w:val="0"/>
          <w:numId w:val="1"/>
        </w:numPr>
        <w:spacing w:after="0"/>
      </w:pPr>
      <w:r w:rsidRPr="6963A87C">
        <w:t>Creating a timeline for conference activity to ensure that actions are completed in a timely way. Adjusting this where necessary</w:t>
      </w:r>
      <w:r w:rsidR="004B20FB">
        <w:t>;</w:t>
      </w:r>
    </w:p>
    <w:p w14:paraId="4CCCB57F" w14:textId="08DF15EB" w:rsidR="5988C636" w:rsidRDefault="5988C636" w:rsidP="6963A87C">
      <w:pPr>
        <w:pStyle w:val="ListParagraph"/>
        <w:numPr>
          <w:ilvl w:val="0"/>
          <w:numId w:val="1"/>
        </w:numPr>
        <w:spacing w:after="0"/>
      </w:pPr>
      <w:r>
        <w:t xml:space="preserve">Liaising with institutional conferencing, management and financial teams to agree the contract between the institution and </w:t>
      </w:r>
      <w:proofErr w:type="spellStart"/>
      <w:r>
        <w:t>Ta</w:t>
      </w:r>
      <w:r w:rsidR="30F85E7B">
        <w:t>PRA</w:t>
      </w:r>
      <w:proofErr w:type="spellEnd"/>
      <w:r w:rsidR="30F85E7B">
        <w:t xml:space="preserve"> and</w:t>
      </w:r>
      <w:r w:rsidR="2C01EC49">
        <w:t xml:space="preserve"> </w:t>
      </w:r>
      <w:r w:rsidR="30F85E7B">
        <w:t>ensur</w:t>
      </w:r>
      <w:r w:rsidR="23DAD23B">
        <w:t>ing</w:t>
      </w:r>
      <w:r w:rsidR="30F85E7B">
        <w:t xml:space="preserve"> the prompt return of agreed profits to the organisation</w:t>
      </w:r>
      <w:r w:rsidR="004B20FB">
        <w:t>;</w:t>
      </w:r>
    </w:p>
    <w:p w14:paraId="6FDC9444" w14:textId="142E434F" w:rsidR="004B20FB" w:rsidRDefault="004B20FB" w:rsidP="004B20FB">
      <w:pPr>
        <w:pStyle w:val="ListParagraph"/>
        <w:numPr>
          <w:ilvl w:val="0"/>
          <w:numId w:val="1"/>
        </w:numPr>
      </w:pPr>
      <w:r>
        <w:t>Leading on the consideration of elements such as bursaries for conference attendance and how these are awarded.</w:t>
      </w:r>
    </w:p>
    <w:p w14:paraId="6465ACD8" w14:textId="54FC7429" w:rsidR="30F85E7B" w:rsidRDefault="30F85E7B" w:rsidP="6963A87C">
      <w:pPr>
        <w:pStyle w:val="ListParagraph"/>
        <w:numPr>
          <w:ilvl w:val="0"/>
          <w:numId w:val="1"/>
        </w:numPr>
        <w:spacing w:after="0"/>
      </w:pPr>
      <w:r w:rsidRPr="6963A87C">
        <w:t>Working with the communications officers to ensure that information about the conference is shared with the membership</w:t>
      </w:r>
      <w:r w:rsidR="004B20FB">
        <w:t>;</w:t>
      </w:r>
    </w:p>
    <w:p w14:paraId="77C6FE0E" w14:textId="74012A86" w:rsidR="003813DF" w:rsidRPr="00E54E36" w:rsidRDefault="30F85E7B" w:rsidP="003813DF">
      <w:pPr>
        <w:pStyle w:val="ListParagraph"/>
        <w:numPr>
          <w:ilvl w:val="0"/>
          <w:numId w:val="1"/>
        </w:numPr>
      </w:pPr>
      <w:r w:rsidRPr="6963A87C">
        <w:t>Responding to queries</w:t>
      </w:r>
      <w:r w:rsidR="78ABD693" w:rsidRPr="6963A87C">
        <w:t xml:space="preserve"> from members and prospective hosts about conference-related matters</w:t>
      </w:r>
      <w:r w:rsidR="004B20FB">
        <w:t>.</w:t>
      </w:r>
    </w:p>
    <w:sectPr w:rsidR="003813DF" w:rsidRPr="00E54E36" w:rsidSect="005E5E27">
      <w:pgSz w:w="11906" w:h="16838"/>
      <w:pgMar w:top="306" w:right="1440" w:bottom="113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B83"/>
    <w:multiLevelType w:val="hybridMultilevel"/>
    <w:tmpl w:val="9F0E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DF"/>
    <w:rsid w:val="00051B64"/>
    <w:rsid w:val="000F4B21"/>
    <w:rsid w:val="001461AD"/>
    <w:rsid w:val="00167E1E"/>
    <w:rsid w:val="00197898"/>
    <w:rsid w:val="001A30D8"/>
    <w:rsid w:val="001B122C"/>
    <w:rsid w:val="002337F2"/>
    <w:rsid w:val="002547CF"/>
    <w:rsid w:val="0026133E"/>
    <w:rsid w:val="00272C86"/>
    <w:rsid w:val="002F1D37"/>
    <w:rsid w:val="00327EDC"/>
    <w:rsid w:val="00350313"/>
    <w:rsid w:val="00373124"/>
    <w:rsid w:val="003813DF"/>
    <w:rsid w:val="00392E80"/>
    <w:rsid w:val="003E60F7"/>
    <w:rsid w:val="0043443A"/>
    <w:rsid w:val="00446113"/>
    <w:rsid w:val="00471FC3"/>
    <w:rsid w:val="004B20FB"/>
    <w:rsid w:val="004B5CE8"/>
    <w:rsid w:val="005008B1"/>
    <w:rsid w:val="00503409"/>
    <w:rsid w:val="005127FE"/>
    <w:rsid w:val="0052388C"/>
    <w:rsid w:val="00582CC0"/>
    <w:rsid w:val="005E5E27"/>
    <w:rsid w:val="0060333B"/>
    <w:rsid w:val="006262D4"/>
    <w:rsid w:val="00643405"/>
    <w:rsid w:val="0065264A"/>
    <w:rsid w:val="006623EC"/>
    <w:rsid w:val="00691CC5"/>
    <w:rsid w:val="006A662C"/>
    <w:rsid w:val="006C3FAE"/>
    <w:rsid w:val="006D170D"/>
    <w:rsid w:val="006E5E71"/>
    <w:rsid w:val="00704C1D"/>
    <w:rsid w:val="00777D91"/>
    <w:rsid w:val="00854F09"/>
    <w:rsid w:val="008D3139"/>
    <w:rsid w:val="008D572C"/>
    <w:rsid w:val="00973613"/>
    <w:rsid w:val="009B2CEA"/>
    <w:rsid w:val="009B458F"/>
    <w:rsid w:val="009B4BA2"/>
    <w:rsid w:val="009C2D0F"/>
    <w:rsid w:val="009D7983"/>
    <w:rsid w:val="009E2651"/>
    <w:rsid w:val="00A00D38"/>
    <w:rsid w:val="00A4333E"/>
    <w:rsid w:val="00AE1ABA"/>
    <w:rsid w:val="00AF7472"/>
    <w:rsid w:val="00B07434"/>
    <w:rsid w:val="00BB0646"/>
    <w:rsid w:val="00BB7811"/>
    <w:rsid w:val="00C000D7"/>
    <w:rsid w:val="00C1594C"/>
    <w:rsid w:val="00C261A6"/>
    <w:rsid w:val="00C95D71"/>
    <w:rsid w:val="00CD620B"/>
    <w:rsid w:val="00CE0B6A"/>
    <w:rsid w:val="00D32277"/>
    <w:rsid w:val="00D44D03"/>
    <w:rsid w:val="00DC11FE"/>
    <w:rsid w:val="00DE215B"/>
    <w:rsid w:val="00E4168C"/>
    <w:rsid w:val="00E44B39"/>
    <w:rsid w:val="00E52A56"/>
    <w:rsid w:val="00E54E36"/>
    <w:rsid w:val="00E56E72"/>
    <w:rsid w:val="00E70681"/>
    <w:rsid w:val="00F2469A"/>
    <w:rsid w:val="00F54BBA"/>
    <w:rsid w:val="00FB56A0"/>
    <w:rsid w:val="00FB7DCA"/>
    <w:rsid w:val="01655DD6"/>
    <w:rsid w:val="02F940B1"/>
    <w:rsid w:val="03D3DB47"/>
    <w:rsid w:val="04951112"/>
    <w:rsid w:val="0584ACB9"/>
    <w:rsid w:val="07D49F5A"/>
    <w:rsid w:val="0967114A"/>
    <w:rsid w:val="0B0C401C"/>
    <w:rsid w:val="0CA8107D"/>
    <w:rsid w:val="0EDAACE2"/>
    <w:rsid w:val="0FDFB13F"/>
    <w:rsid w:val="12D3C670"/>
    <w:rsid w:val="1330B6CC"/>
    <w:rsid w:val="1574949B"/>
    <w:rsid w:val="15D241D1"/>
    <w:rsid w:val="15FD2FDC"/>
    <w:rsid w:val="16799265"/>
    <w:rsid w:val="171064FC"/>
    <w:rsid w:val="1A594095"/>
    <w:rsid w:val="1AF54994"/>
    <w:rsid w:val="1BE3D61F"/>
    <w:rsid w:val="1BEBC3A5"/>
    <w:rsid w:val="1F34BF81"/>
    <w:rsid w:val="2008B3BA"/>
    <w:rsid w:val="2241DCCC"/>
    <w:rsid w:val="225B0529"/>
    <w:rsid w:val="23DAD23B"/>
    <w:rsid w:val="272688C6"/>
    <w:rsid w:val="2A5E2988"/>
    <w:rsid w:val="2B277672"/>
    <w:rsid w:val="2BFABBEB"/>
    <w:rsid w:val="2C01EC49"/>
    <w:rsid w:val="2DEABA79"/>
    <w:rsid w:val="2F205FD4"/>
    <w:rsid w:val="30F85E7B"/>
    <w:rsid w:val="31B4F73A"/>
    <w:rsid w:val="32693B6D"/>
    <w:rsid w:val="331B6A73"/>
    <w:rsid w:val="33C58BCF"/>
    <w:rsid w:val="373CAC90"/>
    <w:rsid w:val="3B681045"/>
    <w:rsid w:val="3CD97D72"/>
    <w:rsid w:val="3D2C174B"/>
    <w:rsid w:val="41ACEE95"/>
    <w:rsid w:val="4399B66B"/>
    <w:rsid w:val="4462C612"/>
    <w:rsid w:val="45CBE538"/>
    <w:rsid w:val="46998815"/>
    <w:rsid w:val="48DD5653"/>
    <w:rsid w:val="4B6CF938"/>
    <w:rsid w:val="4D2572B8"/>
    <w:rsid w:val="4DC9FF64"/>
    <w:rsid w:val="4DE31842"/>
    <w:rsid w:val="4DF58B1B"/>
    <w:rsid w:val="4E866B7E"/>
    <w:rsid w:val="4F65AF4D"/>
    <w:rsid w:val="4FDBA855"/>
    <w:rsid w:val="50406A5B"/>
    <w:rsid w:val="535EE2C0"/>
    <w:rsid w:val="577A170A"/>
    <w:rsid w:val="583A4169"/>
    <w:rsid w:val="5988C636"/>
    <w:rsid w:val="5ADB0F94"/>
    <w:rsid w:val="5B02B393"/>
    <w:rsid w:val="5B331DD3"/>
    <w:rsid w:val="6045534E"/>
    <w:rsid w:val="608FDA4F"/>
    <w:rsid w:val="618F1DD1"/>
    <w:rsid w:val="61B9F4DE"/>
    <w:rsid w:val="62C36AA5"/>
    <w:rsid w:val="63460FEC"/>
    <w:rsid w:val="647138C0"/>
    <w:rsid w:val="651E8C93"/>
    <w:rsid w:val="67A06A3F"/>
    <w:rsid w:val="683C821E"/>
    <w:rsid w:val="6963A87C"/>
    <w:rsid w:val="6AF2B7BB"/>
    <w:rsid w:val="6BB2A597"/>
    <w:rsid w:val="6BCACB2C"/>
    <w:rsid w:val="6FD7C25D"/>
    <w:rsid w:val="72721B04"/>
    <w:rsid w:val="75EE983A"/>
    <w:rsid w:val="77A55332"/>
    <w:rsid w:val="78ABD693"/>
    <w:rsid w:val="7916296F"/>
    <w:rsid w:val="7A1BFAC5"/>
    <w:rsid w:val="7A761A20"/>
    <w:rsid w:val="7ADCF3F4"/>
    <w:rsid w:val="7C89FF2C"/>
    <w:rsid w:val="7E87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976C"/>
  <w15:chartTrackingRefBased/>
  <w15:docId w15:val="{080AD21D-29E8-4A3C-BB8D-4BBF3CFC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42D3088D216458E0212DCF115C968" ma:contentTypeVersion="13" ma:contentTypeDescription="Create a new document." ma:contentTypeScope="" ma:versionID="4ee1e7c190f85c5decb725a95404f9af">
  <xsd:schema xmlns:xsd="http://www.w3.org/2001/XMLSchema" xmlns:xs="http://www.w3.org/2001/XMLSchema" xmlns:p="http://schemas.microsoft.com/office/2006/metadata/properties" xmlns:ns3="9ee75292-5076-4fcc-bc52-dcc754448144" xmlns:ns4="f7b00057-f5aa-46f4-8410-da255f325540" targetNamespace="http://schemas.microsoft.com/office/2006/metadata/properties" ma:root="true" ma:fieldsID="cab3d71af7e411d6bc5661b530bac509" ns3:_="" ns4:_="">
    <xsd:import namespace="9ee75292-5076-4fcc-bc52-dcc754448144"/>
    <xsd:import namespace="f7b00057-f5aa-46f4-8410-da255f3255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5292-5076-4fcc-bc52-dcc754448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00057-f5aa-46f4-8410-da255f325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E817B-3103-4227-85B5-5B7F01C86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75292-5076-4fcc-bc52-dcc754448144"/>
    <ds:schemaRef ds:uri="f7b00057-f5aa-46f4-8410-da255f325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2D791-F0B2-483E-B00E-8C74C412D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3E8C8-3173-48E4-A765-D4FA00FCB9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Mock</dc:creator>
  <cp:keywords/>
  <dc:description/>
  <cp:lastModifiedBy>Beswick, Katie</cp:lastModifiedBy>
  <cp:revision>2</cp:revision>
  <dcterms:created xsi:type="dcterms:W3CDTF">2021-09-07T10:33:00Z</dcterms:created>
  <dcterms:modified xsi:type="dcterms:W3CDTF">2021-09-07T10:33:00Z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0x010100B7242D3088D216458E0212DCF115C968</vt:lpwstr>
  </property>
</Properties>
</file>